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29</w:t>
      </w: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</w:tabs>
              <w:spacing w:line="24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履约能力评价体系体系认证申请资料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</w:tabs>
              <w:spacing w:line="240" w:lineRule="atLeast"/>
              <w:ind w:left="63" w:leftChars="30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</w:rPr>
              <w:t>体系覆盖人员信息如下：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全职员工（不包括兼职、临时等类型人员）</w:t>
            </w: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全职员工数量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全职员工全年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平均工作天数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</w:rPr>
              <w:t>兼职人员</w:t>
            </w: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highlight w:val="yellow"/>
              </w:rPr>
            </w:pPr>
            <w:r>
              <w:rPr>
                <w:rFonts w:hint="eastAsia" w:ascii="宋体" w:hAnsi="宋体" w:cs="宋体"/>
              </w:rPr>
              <w:t>兼职人员总数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兼职人员平均每天工作的小时数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</w:rPr>
              <w:t>平均工作天数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117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说明</w:t>
            </w:r>
          </w:p>
        </w:tc>
        <w:tc>
          <w:tcPr>
            <w:tcW w:w="8766" w:type="dxa"/>
            <w:gridSpan w:val="3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请说明从事相似或重复工作的岗位及人数</w:t>
            </w: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C4E5E0D"/>
    <w:rsid w:val="29C72FC9"/>
    <w:rsid w:val="2AE7294F"/>
    <w:rsid w:val="2CA27013"/>
    <w:rsid w:val="409D1417"/>
    <w:rsid w:val="48C815A8"/>
    <w:rsid w:val="4CAD1A0B"/>
    <w:rsid w:val="592D756C"/>
    <w:rsid w:val="5F896624"/>
    <w:rsid w:val="6AF33A46"/>
    <w:rsid w:val="6DE32331"/>
    <w:rsid w:val="756D2B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226</Words>
  <Characters>227</Characters>
  <Lines>5</Lines>
  <Paragraphs>1</Paragraphs>
  <TotalTime>0</TotalTime>
  <ScaleCrop>false</ScaleCrop>
  <LinksUpToDate>false</LinksUpToDate>
  <CharactersWithSpaces>261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2023-05-29T05:26:18Z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